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-386715</wp:posOffset>
            </wp:positionV>
            <wp:extent cx="1323975" cy="1323975"/>
            <wp:effectExtent l="0" t="0" r="0" b="0"/>
            <wp:wrapTight wrapText="bothSides">
              <wp:wrapPolygon edited="0">
                <wp:start x="9945" y="311"/>
                <wp:lineTo x="5905" y="3419"/>
                <wp:lineTo x="4662" y="4662"/>
                <wp:lineTo x="4662" y="6837"/>
                <wp:lineTo x="8081" y="10878"/>
                <wp:lineTo x="5283" y="13053"/>
                <wp:lineTo x="4662" y="13675"/>
                <wp:lineTo x="4662" y="15850"/>
                <wp:lineTo x="2486" y="17094"/>
                <wp:lineTo x="3108" y="20512"/>
                <wp:lineTo x="7770" y="21134"/>
                <wp:lineTo x="14918" y="21134"/>
                <wp:lineTo x="18337" y="20201"/>
                <wp:lineTo x="18647" y="17094"/>
                <wp:lineTo x="17094" y="14918"/>
                <wp:lineTo x="15850" y="13364"/>
                <wp:lineTo x="13364" y="10878"/>
                <wp:lineTo x="16472" y="6837"/>
                <wp:lineTo x="17094" y="4662"/>
                <wp:lineTo x="15229" y="2797"/>
                <wp:lineTo x="11499" y="311"/>
                <wp:lineTo x="9945" y="31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A44B0B" w:rsidRDefault="0017580C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23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</w:t>
      </w:r>
      <w:r w:rsidR="00B60967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</w:t>
      </w:r>
      <w:r w:rsidR="000367C7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3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.2023</w:t>
      </w:r>
    </w:p>
    <w:p w:rsidR="00B60967" w:rsidRPr="00A44B0B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60967" w:rsidRDefault="00B60967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4B0B" w:rsidRPr="0039215F" w:rsidRDefault="00A44B0B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A44B0B" w:rsidRDefault="00A44B0B" w:rsidP="00B60967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В ЕГРН внесена пятая из восьми границ Татарстана </w:t>
      </w:r>
    </w:p>
    <w:p w:rsidR="009C6DA8" w:rsidRPr="00A44B0B" w:rsidRDefault="00524B90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Следом за границей с Самарской областью в</w:t>
      </w:r>
      <w:r w:rsidR="0076249F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Единый государственный реестр недвижимости (ЕГРН) </w:t>
      </w:r>
      <w:r w:rsidR="001542F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внесли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границу Республики Татарстан с Ульяновской областью. </w:t>
      </w:r>
      <w:r w:rsidR="0076249F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В основном граница проходит по территории </w:t>
      </w:r>
      <w:r w:rsidR="001542F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сельхозугодий и лесных массивов</w:t>
      </w:r>
      <w:r w:rsidR="0076249F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. Общая протяжённость границы между Татарстан</w:t>
      </w:r>
      <w:r w:rsidR="008C78AB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ом</w:t>
      </w:r>
      <w:r w:rsidR="0076249F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и </w:t>
      </w:r>
      <w:r w:rsidR="001542F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Ульяновском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</w:t>
      </w:r>
      <w:r w:rsidR="007D35E0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составляет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</w:t>
      </w:r>
      <w:r w:rsidR="001542F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380,9</w:t>
      </w:r>
      <w:r w:rsidR="0076249F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километра. </w:t>
      </w:r>
    </w:p>
    <w:p w:rsidR="009C6DA8" w:rsidRPr="00A44B0B" w:rsidRDefault="009C6DA8" w:rsidP="009C6DA8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Непосредственным исполнителем работ по установлению границы распоряжением Министерства земельных и имущественных отношений был назначен Фонд пространственных данных Республики Татарстан.</w:t>
      </w:r>
    </w:p>
    <w:p w:rsidR="009C6DA8" w:rsidRPr="00A44B0B" w:rsidRDefault="009C6DA8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Работы по определению границ с Ульяновской областью </w:t>
      </w:r>
      <w:r w:rsidR="003C71A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были 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н</w:t>
      </w:r>
      <w:r w:rsidR="003C71A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ачаты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в 2020 году, а </w:t>
      </w:r>
      <w:r w:rsidR="006E7B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спустя два года в октябре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</w:t>
      </w:r>
      <w:r w:rsidR="00E87F23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Президентом Республики Татарстан и губернатором Ульяновской области было подписано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Сог</w:t>
      </w:r>
      <w:r w:rsidR="00E87F23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лашение об установлении границы</w:t>
      </w:r>
      <w:r w:rsidR="00156336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между регионами</w:t>
      </w:r>
      <w:r w:rsidR="00E87F23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.</w:t>
      </w:r>
    </w:p>
    <w:p w:rsidR="00E87F23" w:rsidRPr="00A44B0B" w:rsidRDefault="00E87F23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В феврале 2023 года землеустроительное дело получило положительное заключение государственной экспертизы Росреестра, и материалы были переданы в филиал ППК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«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Роскадастр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»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по Республике Татарстан для внесения сведений в ЕГРН.</w:t>
      </w:r>
    </w:p>
    <w:p w:rsidR="00156336" w:rsidRPr="00A44B0B" w:rsidRDefault="00156336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По словам 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руководителя Росреестра Татарстана Азата</w:t>
      </w:r>
      <w:r w:rsidR="00D33D27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 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Зяббарова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, актуальная информация о границах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,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в том числе позволяет эффективно управлять земельными ресурсами, недвижимым имуществом, а также способствует сокращению числа земельных споров. </w:t>
      </w:r>
    </w:p>
    <w:p w:rsidR="0076249F" w:rsidRPr="00A44B0B" w:rsidRDefault="00E87F23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Н</w:t>
      </w:r>
      <w:r w:rsidR="00156336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апомним, что Татарстан </w:t>
      </w:r>
      <w:r w:rsidR="0076249F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граничит </w:t>
      </w:r>
      <w:r w:rsidR="001542F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с Ульяновской областью в юго-западной части территории. На границе расположены Нурлатский, Алькеевский, Спасский, Тетюшский, Буинский и Дрожжановский районы республики.</w:t>
      </w:r>
      <w:r w:rsidR="009C6DA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Особое внимание при уточнении границ уделялось участкам вблизи населенных пунктов, на которых местные жители ведут свою хозяйственную деятельность.</w:t>
      </w:r>
    </w:p>
    <w:p w:rsidR="00A44B0B" w:rsidRDefault="00A44B0B" w:rsidP="00E87F23">
      <w:pPr>
        <w:spacing w:line="240" w:lineRule="auto"/>
        <w:jc w:val="both"/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</w:pPr>
    </w:p>
    <w:p w:rsidR="00E87F23" w:rsidRPr="00A44B0B" w:rsidRDefault="00E87F23" w:rsidP="00E87F23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lastRenderedPageBreak/>
        <w:t>«По всем спорным участкам направлялись запросы в органы местного самоуправления для получения информации о реально сложившейся границе. Для успешного решения всех вопросов понадобилось провести около десяти совещаний сторон, три раза проводились очные переговоры в Ульяновске и три раза были проведены выезды на участки границы с участием представителей органов местного самоуправления и населения»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- </w:t>
      </w:r>
      <w:r w:rsidR="00156336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отметил</w:t>
      </w:r>
      <w:r w:rsidR="00D33D27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 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министр земельных и имущественных отношений Республики Татарстан Фаниль</w:t>
      </w:r>
      <w:r w:rsidR="00D33D27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 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Аглиуллин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.</w:t>
      </w:r>
    </w:p>
    <w:p w:rsidR="009C6DA8" w:rsidRPr="00A44B0B" w:rsidRDefault="009C6DA8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В результате граница между Республикой Татарстан и Ульяновской областью свою реальную исторически сложившуюся конфигурацию не поменяла. По итогам согласования были решены все вопросы различия в картографическом отображении границ, существовавшие в различных документах.                </w:t>
      </w:r>
    </w:p>
    <w:p w:rsidR="00E32B9D" w:rsidRDefault="00156336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>«</w:t>
      </w:r>
      <w:r w:rsidR="00535930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На сегодняшний день </w:t>
      </w:r>
      <w:r w:rsidR="008C78AB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>в ЕГРН</w:t>
      </w:r>
      <w:r w:rsidR="00D33D27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 </w:t>
      </w:r>
      <w:r w:rsidR="00535930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внесено уже 5 </w:t>
      </w:r>
      <w:r w:rsidR="00D33D27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смежных с Республикой Татарстан </w:t>
      </w:r>
      <w:r w:rsidR="00535930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границ. </w:t>
      </w:r>
      <w:r w:rsidR="00262A85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>До конца года планируется завершить работы по внесению еще 3 границ</w:t>
      </w:r>
      <w:r w:rsidR="00D33D27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 </w:t>
      </w:r>
      <w:r w:rsidR="007D35E0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– </w:t>
      </w:r>
      <w:r w:rsidR="008C78AB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 xml:space="preserve">с </w:t>
      </w:r>
      <w:r w:rsidR="001542F8" w:rsidRPr="00A44B0B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>Республиками Чувашия и Удмуртия, а также Кировской областью</w:t>
      </w:r>
      <w:r w:rsidR="00D33D27">
        <w:rPr>
          <w:rFonts w:ascii="Segoe UI" w:eastAsiaTheme="minorEastAsia" w:hAnsi="Segoe UI" w:cs="Segoe UI"/>
          <w:i/>
          <w:color w:val="000000"/>
          <w:sz w:val="28"/>
          <w:szCs w:val="28"/>
          <w:lang w:eastAsia="ru-RU"/>
        </w:rPr>
        <w:t>. Работа в этом направлении активно ведется филиалом в рамках реализации государственной программы Российской Федерации «Национальная система пространственных данных</w:t>
      </w:r>
      <w:r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 xml:space="preserve">» - сказал </w:t>
      </w:r>
      <w:r w:rsidR="00A44B0B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директор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 филиала ППК</w:t>
      </w:r>
      <w:r w:rsidR="00D33D27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 «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Роскадастр</w:t>
      </w:r>
      <w:r w:rsidR="00D33D27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»</w:t>
      </w: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 xml:space="preserve"> по Республике Татарстан </w:t>
      </w:r>
      <w:r w:rsidR="00A44B0B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Артем Костин</w:t>
      </w:r>
      <w:r w:rsidR="001542F8" w:rsidRPr="00A44B0B">
        <w:rPr>
          <w:rFonts w:ascii="Segoe UI" w:eastAsiaTheme="minorEastAsia" w:hAnsi="Segoe UI" w:cs="Segoe UI"/>
          <w:color w:val="000000"/>
          <w:sz w:val="28"/>
          <w:szCs w:val="28"/>
          <w:lang w:eastAsia="ru-RU"/>
        </w:rPr>
        <w:t>.</w:t>
      </w:r>
    </w:p>
    <w:p w:rsidR="009C6DA8" w:rsidRPr="00A50A83" w:rsidRDefault="009C6DA8" w:rsidP="009C6DA8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255-25-80 – Галиуллина Галина</w:t>
      </w:r>
    </w:p>
    <w:p w:rsidR="009C6DA8" w:rsidRPr="00A50A83" w:rsidRDefault="00BA2A84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C6DA8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9C6DA8" w:rsidRPr="00600917" w:rsidRDefault="009C6DA8" w:rsidP="009C6DA8">
      <w:pPr>
        <w:tabs>
          <w:tab w:val="center" w:pos="4677"/>
          <w:tab w:val="left" w:pos="6495"/>
        </w:tabs>
        <w:spacing w:after="0"/>
        <w:jc w:val="right"/>
        <w:rPr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p w:rsidR="009C6DA8" w:rsidRDefault="009C6DA8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C6DA8" w:rsidRDefault="009C6DA8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9C6DA8" w:rsidRDefault="009C6DA8" w:rsidP="00524B90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E76130" w:rsidRDefault="00E76130" w:rsidP="00600917">
      <w:pPr>
        <w:spacing w:after="0"/>
        <w:ind w:left="-567"/>
        <w:jc w:val="right"/>
        <w:rPr>
          <w:rFonts w:ascii="Segoe UI" w:hAnsi="Segoe UI" w:cs="Segoe UI"/>
          <w:b/>
          <w:sz w:val="20"/>
          <w:szCs w:val="20"/>
        </w:rPr>
      </w:pPr>
    </w:p>
    <w:p w:rsidR="009C6DA8" w:rsidRPr="00600917" w:rsidRDefault="009C6DA8" w:rsidP="00BA2A84">
      <w:pPr>
        <w:tabs>
          <w:tab w:val="center" w:pos="4677"/>
          <w:tab w:val="left" w:pos="6495"/>
        </w:tabs>
        <w:spacing w:after="0"/>
        <w:rPr>
          <w:shd w:val="clear" w:color="auto" w:fill="FFFFFF"/>
        </w:rPr>
      </w:pPr>
    </w:p>
    <w:sectPr w:rsidR="009C6DA8" w:rsidRPr="00600917" w:rsidSect="00E7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B3" w:rsidRDefault="003C16B3" w:rsidP="00A44B0B">
      <w:pPr>
        <w:spacing w:after="0" w:line="240" w:lineRule="auto"/>
      </w:pPr>
      <w:r>
        <w:separator/>
      </w:r>
    </w:p>
  </w:endnote>
  <w:endnote w:type="continuationSeparator" w:id="0">
    <w:p w:rsidR="003C16B3" w:rsidRDefault="003C16B3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B3" w:rsidRDefault="003C16B3" w:rsidP="00A44B0B">
      <w:pPr>
        <w:spacing w:after="0" w:line="240" w:lineRule="auto"/>
      </w:pPr>
      <w:r>
        <w:separator/>
      </w:r>
    </w:p>
  </w:footnote>
  <w:footnote w:type="continuationSeparator" w:id="0">
    <w:p w:rsidR="003C16B3" w:rsidRDefault="003C16B3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6"/>
    <w:rsid w:val="00013AFC"/>
    <w:rsid w:val="00016DEE"/>
    <w:rsid w:val="00021361"/>
    <w:rsid w:val="000367C7"/>
    <w:rsid w:val="00041727"/>
    <w:rsid w:val="000460B4"/>
    <w:rsid w:val="00046895"/>
    <w:rsid w:val="00055075"/>
    <w:rsid w:val="00081318"/>
    <w:rsid w:val="00086E3C"/>
    <w:rsid w:val="000C5DA8"/>
    <w:rsid w:val="001269D7"/>
    <w:rsid w:val="001542F8"/>
    <w:rsid w:val="00156336"/>
    <w:rsid w:val="00164DB3"/>
    <w:rsid w:val="0017580C"/>
    <w:rsid w:val="00180273"/>
    <w:rsid w:val="001B055D"/>
    <w:rsid w:val="001F0A5C"/>
    <w:rsid w:val="001F1720"/>
    <w:rsid w:val="00201419"/>
    <w:rsid w:val="00211E75"/>
    <w:rsid w:val="002133F4"/>
    <w:rsid w:val="002138AF"/>
    <w:rsid w:val="00217352"/>
    <w:rsid w:val="00223FEB"/>
    <w:rsid w:val="00257E54"/>
    <w:rsid w:val="00262A85"/>
    <w:rsid w:val="002E16C0"/>
    <w:rsid w:val="00307A9E"/>
    <w:rsid w:val="00321D09"/>
    <w:rsid w:val="0034001A"/>
    <w:rsid w:val="0036399C"/>
    <w:rsid w:val="0036620E"/>
    <w:rsid w:val="003708CC"/>
    <w:rsid w:val="00372C51"/>
    <w:rsid w:val="0039215F"/>
    <w:rsid w:val="003A51EC"/>
    <w:rsid w:val="003B5569"/>
    <w:rsid w:val="003C16B3"/>
    <w:rsid w:val="003C71A8"/>
    <w:rsid w:val="003D4617"/>
    <w:rsid w:val="00400FDE"/>
    <w:rsid w:val="00404811"/>
    <w:rsid w:val="004543AA"/>
    <w:rsid w:val="004572DD"/>
    <w:rsid w:val="00463DC8"/>
    <w:rsid w:val="004734B4"/>
    <w:rsid w:val="00482034"/>
    <w:rsid w:val="004A270F"/>
    <w:rsid w:val="004F40B2"/>
    <w:rsid w:val="004F6558"/>
    <w:rsid w:val="00500BBF"/>
    <w:rsid w:val="00524B90"/>
    <w:rsid w:val="00535930"/>
    <w:rsid w:val="00593CE1"/>
    <w:rsid w:val="005A3120"/>
    <w:rsid w:val="005A5B58"/>
    <w:rsid w:val="005D7BA1"/>
    <w:rsid w:val="005E20CB"/>
    <w:rsid w:val="005E7AB5"/>
    <w:rsid w:val="00600917"/>
    <w:rsid w:val="006054F7"/>
    <w:rsid w:val="00610AE6"/>
    <w:rsid w:val="00636755"/>
    <w:rsid w:val="00637C43"/>
    <w:rsid w:val="006A170E"/>
    <w:rsid w:val="006C051F"/>
    <w:rsid w:val="006C4FFF"/>
    <w:rsid w:val="006D252E"/>
    <w:rsid w:val="006D7F56"/>
    <w:rsid w:val="006E2BE4"/>
    <w:rsid w:val="006E7B27"/>
    <w:rsid w:val="006F2B33"/>
    <w:rsid w:val="007229D0"/>
    <w:rsid w:val="00736358"/>
    <w:rsid w:val="00750C74"/>
    <w:rsid w:val="00757FA4"/>
    <w:rsid w:val="00760642"/>
    <w:rsid w:val="0076249F"/>
    <w:rsid w:val="00762718"/>
    <w:rsid w:val="00766BC3"/>
    <w:rsid w:val="00785A4B"/>
    <w:rsid w:val="007C4B16"/>
    <w:rsid w:val="007D22E3"/>
    <w:rsid w:val="007D35E0"/>
    <w:rsid w:val="007D6D24"/>
    <w:rsid w:val="007E4D62"/>
    <w:rsid w:val="007F2D16"/>
    <w:rsid w:val="007F2F46"/>
    <w:rsid w:val="00825B67"/>
    <w:rsid w:val="00825CA6"/>
    <w:rsid w:val="008273F6"/>
    <w:rsid w:val="00856D2F"/>
    <w:rsid w:val="0086566B"/>
    <w:rsid w:val="008972D6"/>
    <w:rsid w:val="008B020F"/>
    <w:rsid w:val="008B4708"/>
    <w:rsid w:val="008B7132"/>
    <w:rsid w:val="008C4CDD"/>
    <w:rsid w:val="008C78AB"/>
    <w:rsid w:val="008F094E"/>
    <w:rsid w:val="00911ACE"/>
    <w:rsid w:val="009327F8"/>
    <w:rsid w:val="009455DD"/>
    <w:rsid w:val="00953F3E"/>
    <w:rsid w:val="0095572A"/>
    <w:rsid w:val="009745B6"/>
    <w:rsid w:val="00977939"/>
    <w:rsid w:val="00983B8F"/>
    <w:rsid w:val="0099379A"/>
    <w:rsid w:val="009A656C"/>
    <w:rsid w:val="009C0577"/>
    <w:rsid w:val="009C6DA8"/>
    <w:rsid w:val="00A05950"/>
    <w:rsid w:val="00A240EE"/>
    <w:rsid w:val="00A26427"/>
    <w:rsid w:val="00A44AF7"/>
    <w:rsid w:val="00A44B0B"/>
    <w:rsid w:val="00A816CD"/>
    <w:rsid w:val="00A911FF"/>
    <w:rsid w:val="00AA19AF"/>
    <w:rsid w:val="00B0273B"/>
    <w:rsid w:val="00B13E2B"/>
    <w:rsid w:val="00B17717"/>
    <w:rsid w:val="00B23C3D"/>
    <w:rsid w:val="00B31DCE"/>
    <w:rsid w:val="00B41B06"/>
    <w:rsid w:val="00B41CD8"/>
    <w:rsid w:val="00B47A2C"/>
    <w:rsid w:val="00B60967"/>
    <w:rsid w:val="00B70FE8"/>
    <w:rsid w:val="00B85CF5"/>
    <w:rsid w:val="00B95474"/>
    <w:rsid w:val="00BA2A84"/>
    <w:rsid w:val="00BA31F5"/>
    <w:rsid w:val="00BF676B"/>
    <w:rsid w:val="00C02461"/>
    <w:rsid w:val="00C137DB"/>
    <w:rsid w:val="00C72582"/>
    <w:rsid w:val="00C858FA"/>
    <w:rsid w:val="00C91F8C"/>
    <w:rsid w:val="00C97DB6"/>
    <w:rsid w:val="00CA016D"/>
    <w:rsid w:val="00CC0613"/>
    <w:rsid w:val="00CC7C58"/>
    <w:rsid w:val="00CD088B"/>
    <w:rsid w:val="00CE3A79"/>
    <w:rsid w:val="00CE63D6"/>
    <w:rsid w:val="00CF7352"/>
    <w:rsid w:val="00D01594"/>
    <w:rsid w:val="00D116F5"/>
    <w:rsid w:val="00D33D27"/>
    <w:rsid w:val="00D4107A"/>
    <w:rsid w:val="00D8013F"/>
    <w:rsid w:val="00D83C26"/>
    <w:rsid w:val="00DB430C"/>
    <w:rsid w:val="00DC0E52"/>
    <w:rsid w:val="00DE07BA"/>
    <w:rsid w:val="00E07BF2"/>
    <w:rsid w:val="00E14779"/>
    <w:rsid w:val="00E32B9D"/>
    <w:rsid w:val="00E4529D"/>
    <w:rsid w:val="00E664C8"/>
    <w:rsid w:val="00E6771E"/>
    <w:rsid w:val="00E71502"/>
    <w:rsid w:val="00E76130"/>
    <w:rsid w:val="00E766EC"/>
    <w:rsid w:val="00E87F23"/>
    <w:rsid w:val="00E936FE"/>
    <w:rsid w:val="00EA5598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6D7D-3109-44A2-B458-035E3CA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Васягина Дарья Олеговна</cp:lastModifiedBy>
  <cp:revision>3</cp:revision>
  <cp:lastPrinted>2023-03-22T10:25:00Z</cp:lastPrinted>
  <dcterms:created xsi:type="dcterms:W3CDTF">2023-03-23T10:37:00Z</dcterms:created>
  <dcterms:modified xsi:type="dcterms:W3CDTF">2023-03-23T10:37:00Z</dcterms:modified>
</cp:coreProperties>
</file>